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72" w:rsidRDefault="00396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062"/>
        <w:gridCol w:w="1459"/>
        <w:gridCol w:w="2985"/>
      </w:tblGrid>
      <w:tr w:rsidR="00396C72">
        <w:trPr>
          <w:trHeight w:val="426"/>
        </w:trPr>
        <w:tc>
          <w:tcPr>
            <w:tcW w:w="988" w:type="dxa"/>
          </w:tcPr>
          <w:p w:rsidR="00396C72" w:rsidRDefault="00AD24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pt-BR"/>
              </w:rPr>
              <w:drawing>
                <wp:inline distT="0" distB="0" distL="0" distR="0">
                  <wp:extent cx="467278" cy="670197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278" cy="6701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gridSpan w:val="2"/>
            <w:vAlign w:val="center"/>
          </w:tcPr>
          <w:p w:rsidR="00396C72" w:rsidRDefault="00AD24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Universidade Federal da Paraíba</w:t>
            </w:r>
          </w:p>
        </w:tc>
        <w:tc>
          <w:tcPr>
            <w:tcW w:w="2985" w:type="dxa"/>
            <w:vAlign w:val="center"/>
          </w:tcPr>
          <w:p w:rsidR="00396C72" w:rsidRDefault="00AD24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Procedimento Operacional - PO</w:t>
            </w:r>
          </w:p>
        </w:tc>
      </w:tr>
      <w:tr w:rsidR="00396C72">
        <w:trPr>
          <w:trHeight w:val="279"/>
        </w:trPr>
        <w:tc>
          <w:tcPr>
            <w:tcW w:w="8494" w:type="dxa"/>
            <w:gridSpan w:val="4"/>
          </w:tcPr>
          <w:p w:rsidR="00396C72" w:rsidRDefault="00AD24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Unidade: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Pró-Reitoria de Administração</w:t>
            </w:r>
          </w:p>
        </w:tc>
      </w:tr>
      <w:tr w:rsidR="00396C72">
        <w:tc>
          <w:tcPr>
            <w:tcW w:w="8494" w:type="dxa"/>
            <w:gridSpan w:val="4"/>
          </w:tcPr>
          <w:p w:rsidR="00396C72" w:rsidRDefault="00AD24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Aquisição de material por inexigibilidade/ dispensa de licitação</w:t>
            </w:r>
          </w:p>
        </w:tc>
      </w:tr>
      <w:tr w:rsidR="00396C72">
        <w:tc>
          <w:tcPr>
            <w:tcW w:w="4050" w:type="dxa"/>
            <w:gridSpan w:val="2"/>
          </w:tcPr>
          <w:p w:rsidR="00396C72" w:rsidRDefault="00AD24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PRA/DM/04</w:t>
            </w:r>
          </w:p>
        </w:tc>
        <w:tc>
          <w:tcPr>
            <w:tcW w:w="1459" w:type="dxa"/>
            <w:vAlign w:val="center"/>
          </w:tcPr>
          <w:p w:rsidR="00396C72" w:rsidRDefault="00AD24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Versão: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85" w:type="dxa"/>
            <w:vAlign w:val="center"/>
          </w:tcPr>
          <w:p w:rsidR="00396C72" w:rsidRDefault="00AD24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Nº de folhas: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:rsidR="00396C72" w:rsidRDefault="00396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1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6C72" w:rsidRDefault="00AD24F1">
      <w:pPr>
        <w:pStyle w:val="Ttulo1"/>
        <w:numPr>
          <w:ilvl w:val="0"/>
          <w:numId w:val="1"/>
        </w:numPr>
        <w:spacing w:line="360" w:lineRule="auto"/>
        <w:ind w:left="221" w:firstLine="0"/>
      </w:pPr>
      <w:r>
        <w:t>OBJETIVO</w:t>
      </w:r>
    </w:p>
    <w:p w:rsidR="00396C72" w:rsidRDefault="00AD24F1">
      <w:pPr>
        <w:spacing w:line="360" w:lineRule="auto"/>
        <w:ind w:lef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manual descreve as etapas para aquisição de materiais, de consumo ou permanentes, por meio de inexigibilidade ou dispensa de licitação no âmbito da UFPB.</w:t>
      </w:r>
    </w:p>
    <w:p w:rsidR="00396C72" w:rsidRDefault="00396C7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C72" w:rsidRDefault="00AD24F1">
      <w:pPr>
        <w:pStyle w:val="Ttulo1"/>
        <w:numPr>
          <w:ilvl w:val="0"/>
          <w:numId w:val="1"/>
        </w:numPr>
        <w:spacing w:line="360" w:lineRule="auto"/>
        <w:ind w:left="221" w:firstLine="0"/>
      </w:pPr>
      <w:r>
        <w:t>PÚBLICO ALVO</w:t>
      </w:r>
    </w:p>
    <w:p w:rsidR="00396C72" w:rsidRDefault="00AD24F1">
      <w:pPr>
        <w:spacing w:line="360" w:lineRule="auto"/>
        <w:ind w:firstLine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Unidades gestoras da UASG 153065.</w:t>
      </w:r>
    </w:p>
    <w:p w:rsidR="00396C72" w:rsidRDefault="00396C72">
      <w:pPr>
        <w:spacing w:line="360" w:lineRule="auto"/>
        <w:ind w:left="2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C72" w:rsidRDefault="00AD24F1">
      <w:pPr>
        <w:pStyle w:val="Ttulo1"/>
        <w:numPr>
          <w:ilvl w:val="0"/>
          <w:numId w:val="1"/>
        </w:numPr>
        <w:ind w:left="720"/>
      </w:pPr>
      <w:bookmarkStart w:id="0" w:name="_heading=h.gjdgxs" w:colFirst="0" w:colLast="0"/>
      <w:bookmarkEnd w:id="0"/>
      <w:r>
        <w:t>GLOSSÁRIO DE TERMOS E SIGLAS</w:t>
      </w:r>
    </w:p>
    <w:p w:rsidR="00396C72" w:rsidRDefault="00AD24F1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Diário </w:t>
      </w:r>
      <w:r>
        <w:rPr>
          <w:rFonts w:ascii="Times New Roman" w:eastAsia="Times New Roman" w:hAnsi="Times New Roman" w:cs="Times New Roman"/>
          <w:sz w:val="24"/>
          <w:szCs w:val="24"/>
        </w:rPr>
        <w:t>Oficial da União.</w:t>
      </w:r>
    </w:p>
    <w:p w:rsidR="00396C72" w:rsidRDefault="00AD24F1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Empenho </w:t>
      </w:r>
      <w:r>
        <w:rPr>
          <w:rFonts w:ascii="Times New Roman" w:eastAsia="Times New Roman" w:hAnsi="Times New Roman" w:cs="Times New Roman"/>
          <w:sz w:val="24"/>
          <w:szCs w:val="24"/>
        </w:rPr>
        <w:t>– É o primeiro estágio da despesa, conceituado como sendo o ato emanado de autoridade competente (ordenador de despesas). É efetuado contabilmente e registrado no sistema SIAFI, utilizando-se o documento Nota de Empenho, que se de</w:t>
      </w:r>
      <w:r>
        <w:rPr>
          <w:rFonts w:ascii="Times New Roman" w:eastAsia="Times New Roman" w:hAnsi="Times New Roman" w:cs="Times New Roman"/>
          <w:sz w:val="24"/>
          <w:szCs w:val="24"/>
        </w:rPr>
        <w:t>stina a registrar o comprometimento de despesa orçamentária, obedecidos os limites estritamente legais, bem como os casos em que se faça necessário o reforço ou a anulação desse compromisso.  O empenho da despesa poderá ser ordinário, por estimativa e glob</w:t>
      </w:r>
      <w:r>
        <w:rPr>
          <w:rFonts w:ascii="Times New Roman" w:eastAsia="Times New Roman" w:hAnsi="Times New Roman" w:cs="Times New Roman"/>
          <w:sz w:val="24"/>
          <w:szCs w:val="24"/>
        </w:rPr>
        <w:t>al.</w:t>
      </w:r>
    </w:p>
    <w:p w:rsidR="00396C72" w:rsidRDefault="00AD24F1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ETP – Estudo Técnico Preliminar. </w:t>
      </w:r>
      <w:r>
        <w:rPr>
          <w:rFonts w:ascii="Times New Roman" w:eastAsia="Times New Roman" w:hAnsi="Times New Roman" w:cs="Times New Roman"/>
          <w:sz w:val="24"/>
          <w:szCs w:val="24"/>
        </w:rPr>
        <w:t> Documento constitutivo da primeira etapa do planejamento de uma contratação que caracteriza o interesse público envolvido e a sua melhor solução e dá base ao anteprojeto, ao termo de referência ou ao projeto básico a s</w:t>
      </w:r>
      <w:r>
        <w:rPr>
          <w:rFonts w:ascii="Times New Roman" w:eastAsia="Times New Roman" w:hAnsi="Times New Roman" w:cs="Times New Roman"/>
          <w:sz w:val="24"/>
          <w:szCs w:val="24"/>
        </w:rPr>
        <w:t>erem elaborados caso se conclua pela viabilidade da contratação.</w:t>
      </w:r>
    </w:p>
    <w:p w:rsidR="00396C72" w:rsidRDefault="00AD24F1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Nota de Empenho.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96C72" w:rsidRDefault="00AD24F1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 </w:t>
      </w:r>
      <w:r>
        <w:rPr>
          <w:rFonts w:ascii="Times New Roman" w:eastAsia="Times New Roman" w:hAnsi="Times New Roman" w:cs="Times New Roman"/>
          <w:sz w:val="24"/>
          <w:szCs w:val="24"/>
        </w:rPr>
        <w:t>– Pró-Reitoria de Administração.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96C72" w:rsidRDefault="00AD24F1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PROPLAN </w:t>
      </w:r>
      <w:r>
        <w:rPr>
          <w:rFonts w:ascii="Times New Roman" w:eastAsia="Times New Roman" w:hAnsi="Times New Roman" w:cs="Times New Roman"/>
          <w:sz w:val="24"/>
          <w:szCs w:val="24"/>
        </w:rPr>
        <w:t>– Pró-Reitoria de Planejamento.</w:t>
      </w:r>
    </w:p>
    <w:p w:rsidR="00396C72" w:rsidRDefault="00AD24F1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SIPAC </w:t>
      </w:r>
      <w:r>
        <w:rPr>
          <w:rFonts w:ascii="Times New Roman" w:eastAsia="Times New Roman" w:hAnsi="Times New Roman" w:cs="Times New Roman"/>
          <w:sz w:val="24"/>
          <w:szCs w:val="24"/>
        </w:rPr>
        <w:t>– Sistema Integrado de Patrimônio, Administração e Contratos.</w:t>
      </w:r>
    </w:p>
    <w:p w:rsidR="00396C72" w:rsidRDefault="00AD24F1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 – Termo de Referência. </w:t>
      </w:r>
      <w:r>
        <w:rPr>
          <w:rFonts w:ascii="Times New Roman" w:eastAsia="Times New Roman" w:hAnsi="Times New Roman" w:cs="Times New Roman"/>
          <w:sz w:val="24"/>
          <w:szCs w:val="24"/>
        </w:rPr>
        <w:t>Documento necessário para a contratação de bens e serviços.</w:t>
      </w:r>
    </w:p>
    <w:p w:rsidR="00396C72" w:rsidRDefault="00AD24F1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UASG </w:t>
      </w:r>
      <w:r>
        <w:rPr>
          <w:rFonts w:ascii="Times New Roman" w:eastAsia="Times New Roman" w:hAnsi="Times New Roman" w:cs="Times New Roman"/>
          <w:sz w:val="24"/>
          <w:szCs w:val="24"/>
        </w:rPr>
        <w:t>– Unidade Administrativa de Serviços Gerais.</w:t>
      </w:r>
    </w:p>
    <w:p w:rsidR="00396C72" w:rsidRDefault="00AD24F1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Unidade Solicitante/ Demandante/ Requisitante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Unidade da UFPB que tenha demandado a solicitação do material, sendo res</w:t>
      </w:r>
      <w:r>
        <w:rPr>
          <w:rFonts w:ascii="Times New Roman" w:eastAsia="Times New Roman" w:hAnsi="Times New Roman" w:cs="Times New Roman"/>
          <w:sz w:val="24"/>
          <w:szCs w:val="24"/>
        </w:rPr>
        <w:t>ponsável pelo acompanhamento da execução do objeto.</w:t>
      </w:r>
    </w:p>
    <w:p w:rsidR="00396C72" w:rsidRDefault="00396C7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C72" w:rsidRDefault="00AD24F1">
      <w:pPr>
        <w:pStyle w:val="Ttulo1"/>
        <w:numPr>
          <w:ilvl w:val="0"/>
          <w:numId w:val="1"/>
        </w:numPr>
        <w:spacing w:after="120" w:line="360" w:lineRule="auto"/>
        <w:ind w:left="221" w:firstLine="0"/>
      </w:pPr>
      <w:r>
        <w:t>LEGISLAÇÃO APLICADA E DOCUMENTOS DE REFERÊNCIA</w:t>
      </w:r>
    </w:p>
    <w:p w:rsidR="00396C72" w:rsidRDefault="00AD24F1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Lei nº 14.133</w:t>
        </w:r>
      </w:hyperlink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/21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Lei de Licitações e Contratos Administrativos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C72" w:rsidRDefault="00AD24F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Lei nº 4.320/1964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Estatui Normas Gerais de Direito Financeiro para elaboração e controle dos orçamentos e balanços da União, dos Estados, dos Municípios e do Distrito Federal.</w:t>
      </w:r>
    </w:p>
    <w:p w:rsidR="00396C72" w:rsidRDefault="00AD24F1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Instrução Normativa SG/ME nº 73, de 05 de agosto de 2020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Dispõe sobre o procedimento administrativo para a realização de pesquisa de preços para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aquisição de bens e contratação de serviços em geral, no âmbito da administração pública federal direta, autárquica e fundacional.</w:t>
      </w:r>
    </w:p>
    <w:p w:rsidR="00396C72" w:rsidRDefault="00AD24F1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Instrução Normativa nº 40, de 22 de maio de 2020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Dispõe sobre a elaboração dos Estudos Técnicos Preliminares - ETP - para a aquisição de bens e a contratação de serviços e obras, no âmbito da Administração Pública federal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ireta, autárquica e fundacional, e sobre o Sistema ETP digital.</w:t>
      </w:r>
    </w:p>
    <w:p w:rsidR="00396C72" w:rsidRDefault="00AD24F1" w:rsidP="00AD24F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Guia Nacional de Contratações Sustentáveis - 5ª edição JUL/2022</w:t>
        </w:r>
      </w:hyperlink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 xml:space="preserve">. </w:t>
      </w:r>
      <w:bookmarkStart w:id="1" w:name="_GoBack"/>
      <w:bookmarkEnd w:id="1"/>
    </w:p>
    <w:p w:rsidR="00396C72" w:rsidRDefault="00AD24F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12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Manuais do Portal de Compras do Governo Federal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96C72" w:rsidRDefault="00AD24F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Manual SIPAC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hyperlink r:id="rId13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Módulo de Protocolo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6C72" w:rsidRDefault="00396C7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C72" w:rsidRDefault="00AD24F1">
      <w:pPr>
        <w:pStyle w:val="Ttulo1"/>
        <w:numPr>
          <w:ilvl w:val="0"/>
          <w:numId w:val="1"/>
        </w:numPr>
        <w:spacing w:line="360" w:lineRule="auto"/>
        <w:ind w:left="221" w:firstLine="0"/>
      </w:pPr>
      <w:r>
        <w:t>INFORMAÇÕES GERAIS</w:t>
      </w:r>
    </w:p>
    <w:p w:rsidR="00396C72" w:rsidRDefault="00AD24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Além da licitação, a compra de material pode ser feita por meio de: </w:t>
      </w:r>
    </w:p>
    <w:p w:rsidR="00396C72" w:rsidRDefault="00AD24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Dispensa de licitação, fundamentada em uma  das hipóteses do Art. </w:t>
      </w:r>
      <w:r>
        <w:rPr>
          <w:rFonts w:ascii="Times New Roman" w:eastAsia="Times New Roman" w:hAnsi="Times New Roman" w:cs="Times New Roman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 Lei nº </w:t>
      </w:r>
      <w:r>
        <w:rPr>
          <w:rFonts w:ascii="Times New Roman" w:eastAsia="Times New Roman" w:hAnsi="Times New Roman" w:cs="Times New Roman"/>
          <w:sz w:val="24"/>
          <w:szCs w:val="24"/>
        </w:rPr>
        <w:t>14.133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ou</w:t>
      </w:r>
    </w:p>
    <w:p w:rsidR="00396C72" w:rsidRDefault="00AD24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Inexigibilidade de licitação, quando o fornecedor for exclusivo, implicando em inviabilidade de competição, conforme Art. </w:t>
      </w:r>
      <w:r>
        <w:rPr>
          <w:rFonts w:ascii="Times New Roman" w:eastAsia="Times New Roman" w:hAnsi="Times New Roman" w:cs="Times New Roman"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Inciso I, da </w:t>
      </w:r>
      <w:r>
        <w:rPr>
          <w:rFonts w:ascii="Times New Roman" w:eastAsia="Times New Roman" w:hAnsi="Times New Roman" w:cs="Times New Roman"/>
          <w:sz w:val="24"/>
          <w:szCs w:val="24"/>
        </w:rPr>
        <w:t>Lei nº 14.133/21.</w:t>
      </w:r>
    </w:p>
    <w:p w:rsidR="00396C72" w:rsidRDefault="00AD24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tyjcwt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 dispensas de pequeno valor, previstas no art. </w:t>
      </w:r>
      <w:r>
        <w:rPr>
          <w:rFonts w:ascii="Times New Roman" w:eastAsia="Times New Roman" w:hAnsi="Times New Roman" w:cs="Times New Roman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incisos I e II, da Lei nº </w:t>
      </w:r>
      <w:r>
        <w:rPr>
          <w:rFonts w:ascii="Times New Roman" w:eastAsia="Times New Roman" w:hAnsi="Times New Roman" w:cs="Times New Roman"/>
          <w:sz w:val="24"/>
          <w:szCs w:val="24"/>
        </w:rPr>
        <w:t>14.133/21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deverão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executadas, preferencialmente, por meio do Sistema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Dispensa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Eletrônica, devendo, nesses casos, seguir o fluxo de aquisição de material por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dispensa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eletrônica 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vide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manual).</w:t>
      </w:r>
    </w:p>
    <w:p w:rsidR="00396C72" w:rsidRDefault="00AD24F1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intuito de promover a melhor execução orçamentária e financeira de todas as unidades vinculadas à UASG 153065 (UFPB), a PRA lança, anualmente, o calendário com os ciclos de compras e de contratações. Dessa forma, os processos devem ser encaminhados de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cordo com o </w:t>
      </w:r>
      <w:hyperlink r:id="rId1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Calendário de Compras e Contratações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UFPB.</w:t>
      </w:r>
    </w:p>
    <w:p w:rsidR="00396C72" w:rsidRDefault="00AD24F1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As solicitações para compra de materiais devem ser feitas pelos(as) requisitantes de cada Unid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(lista de requisitantes de material de cada unidade da UFPB disponível </w:t>
      </w:r>
      <w:hyperlink r:id="rId1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AQUI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96C72" w:rsidRDefault="00AD24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1"/>
        </w:tabs>
        <w:spacing w:before="1" w:line="36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Antes de instruir o processo, a unidade requisitante deve 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rar em contato com a PROPLAN - Coordenação de Orçamento (11.01.07.04), para que seja emitido detalhamento do crédito necessário ao empenho para aquisição do material desejado. A Nota de Dotação com o crédito detalhado deve ser anexada ao processo.</w:t>
      </w:r>
    </w:p>
    <w:p w:rsidR="00396C72" w:rsidRDefault="00AD24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1"/>
        </w:tabs>
        <w:spacing w:before="1" w:line="36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a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fetivação da compra, é obrigatório que o fornecedor esteja cadastrado no Sistema de Cadastramento Unificado de Fornecedores (SICAF). Caso o fornecedor não esteja cadastrado, recomendamos que, antes de autuar o processo, solicite que ele se cadastre por mei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do seguinte link: </w:t>
      </w:r>
      <w:hyperlink r:id="rId1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https://www.gov.br/pt-br/servicos/cadastrar-se-como-fornecedor-da-administracao-publica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96C72" w:rsidRDefault="00AD24F1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envio dos processos de dispensa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inexigibilidade à Procuradoria Jurídica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obrigatório para aquisições de pequeno valor, conforme Orientação Normativa nº 46 da Advocacia-Geral da União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C72" w:rsidRDefault="00AD24F1">
      <w:pPr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Dos documentos necessários</w:t>
      </w:r>
    </w:p>
    <w:p w:rsidR="00396C72" w:rsidRDefault="00AD24F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unidade interessada em solicitar a compra de um material por meio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dispensa de licitação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deverá encaminhar um processo administrativo via SIPAC para a Divisão de Material  (11.01.08.02.06), contendo a seguinte documentação, em formato digital:</w:t>
      </w:r>
    </w:p>
    <w:p w:rsidR="00396C72" w:rsidRDefault="00AD24F1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de Formalização da Demanda (conforme </w:t>
      </w: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modelo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), assinado eletronicamente no SIPAC pelo solicitante e pelo autorizador de despesas da unidade;</w:t>
      </w:r>
    </w:p>
    <w:p w:rsidR="00396C72" w:rsidRDefault="00AD24F1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Estudo Técnico Preliminar, nos termos da Instrução Normativa SEGES/ME nº 58, de 8 de agos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de 2022 (conforme </w:t>
      </w:r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modelo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), assinado, eletronicamente no SIPAC, pelos integrantes da equipe de planejamento da aquisição e pelo autorizador de despesas da uni</w:t>
      </w:r>
      <w:r>
        <w:rPr>
          <w:rFonts w:ascii="Times New Roman" w:eastAsia="Times New Roman" w:hAnsi="Times New Roman" w:cs="Times New Roman"/>
          <w:sz w:val="24"/>
          <w:szCs w:val="24"/>
        </w:rPr>
        <w:t>dade;</w:t>
      </w:r>
    </w:p>
    <w:p w:rsidR="00396C72" w:rsidRDefault="00AD24F1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Comprovantes da pesquisa de preços - no mínimo três e realizada conforme o art. 7º da </w:t>
      </w:r>
      <w:hyperlink r:id="rId1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Ins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trução Normativa SEGES /ME nº 65, de 7 de julho de 2021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6C72" w:rsidRDefault="00AD24F1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Planilha de preços contendo a análise crítica dos preços obtidos;</w:t>
      </w:r>
    </w:p>
    <w:p w:rsidR="00396C72" w:rsidRDefault="00AD24F1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Declaração de dotação orçamentária (Nota de Dotação);</w:t>
      </w:r>
    </w:p>
    <w:p w:rsidR="00396C72" w:rsidRDefault="00AD24F1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Cadastro SICAF do fornecedor (caminho para extração do cadastro no sistema: SIASG -&gt; SICAF -&gt; Consulta -&gt; Situação do fornecedor);</w:t>
      </w:r>
    </w:p>
    <w:p w:rsidR="00396C72" w:rsidRDefault="00AD24F1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Certidões de regularidade fiscal da empresa;</w:t>
      </w:r>
    </w:p>
    <w:p w:rsidR="00396C72" w:rsidRDefault="00AD24F1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Comprovante de lançamento do(s) material(is) no sistema Compras.Gov/Módulo PGC, que ateste que o objeto da contratação está contemplado no PCA do ano em exercício;</w:t>
      </w:r>
    </w:p>
    <w:p w:rsidR="00396C72" w:rsidRDefault="00AD24F1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Termo de Referência elaborado conforme modelo de minuta padronizada da </w:t>
      </w:r>
      <w:hyperlink r:id="rId2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Advocacia Geral da União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destacando-se visualmente as eventuais alterações;</w:t>
      </w:r>
    </w:p>
    <w:p w:rsidR="00396C72" w:rsidRDefault="00AD24F1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Minuta de Contrato, se necessário,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modelo de minuta padronizada da </w:t>
      </w:r>
      <w:hyperlink r:id="rId2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Advocacia Geral da União</w:t>
        </w:r>
      </w:hyperlink>
      <w:r>
        <w:rPr>
          <w:color w:val="000000"/>
        </w:rPr>
        <w:t>.</w:t>
      </w:r>
    </w:p>
    <w:p w:rsidR="00396C72" w:rsidRDefault="00AD24F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unidade interessada em solicitar a compra de um material por meio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inexigibilidade de licitação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deverá encaminhar um processo administrativo via SIPAC para a Div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isão de Material  (11.01.08.02.06), contendo os mesmos documentos list</w:t>
      </w:r>
      <w:r>
        <w:rPr>
          <w:rFonts w:ascii="Times New Roman" w:eastAsia="Times New Roman" w:hAnsi="Times New Roman" w:cs="Times New Roman"/>
          <w:sz w:val="24"/>
          <w:szCs w:val="24"/>
        </w:rPr>
        <w:t>ados acima, acrescidos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seguinte documentação, em formato digital:</w:t>
      </w:r>
    </w:p>
    <w:p w:rsidR="00396C72" w:rsidRDefault="00AD24F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roposta d</w:t>
      </w:r>
      <w:r>
        <w:rPr>
          <w:rFonts w:ascii="Times New Roman" w:eastAsia="Times New Roman" w:hAnsi="Times New Roman" w:cs="Times New Roman"/>
          <w:sz w:val="24"/>
          <w:szCs w:val="24"/>
        </w:rPr>
        <w:t>e preço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fornecedor exclusivo;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96C72" w:rsidRDefault="00AD24F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Atestado de Exclusividade do fornecedor, contrato de exclusividade, decl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aração do fabricante ou outro documento idôneo capaz de comprovar que o objeto é fornecido ou prestado por produtor, empresa ou representante comercial exclusivos, vedada a preferência po</w:t>
      </w:r>
      <w:r>
        <w:rPr>
          <w:rFonts w:ascii="Times New Roman" w:eastAsia="Times New Roman" w:hAnsi="Times New Roman" w:cs="Times New Roman"/>
          <w:sz w:val="24"/>
          <w:szCs w:val="24"/>
        </w:rPr>
        <w:t>r marca específica.</w:t>
      </w:r>
    </w:p>
    <w:p w:rsidR="00396C72" w:rsidRDefault="00AD24F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Atentar para que os documentos sejam nato-digitai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e para as assinaturas sejam eletrônicas, dessa forma, não há necessidade de impressão dos documentos para assinatura física.</w:t>
      </w:r>
    </w:p>
    <w:p w:rsidR="00396C72" w:rsidRDefault="00AD24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ausência de alguma das documentações citadas acima acarretará na devolução do processo ao setor demandante para que ele seja devidamente instruído. Nenhuma compra será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iniciada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através de solicitações via e-mail ou telefone. </w:t>
      </w:r>
    </w:p>
    <w:p w:rsidR="00396C72" w:rsidRDefault="00AD24F1">
      <w:pPr>
        <w:pStyle w:val="Ttulo1"/>
        <w:numPr>
          <w:ilvl w:val="0"/>
          <w:numId w:val="1"/>
        </w:numPr>
        <w:spacing w:after="120" w:line="360" w:lineRule="auto"/>
        <w:ind w:left="578" w:hanging="357"/>
      </w:pPr>
      <w:bookmarkStart w:id="3" w:name="_heading=h.30j0zll" w:colFirst="0" w:colLast="0"/>
      <w:bookmarkEnd w:id="3"/>
      <w:r>
        <w:t>PROCEDIMENTOS NECESSÁRIOS</w:t>
      </w:r>
    </w:p>
    <w:p w:rsidR="00396C72" w:rsidRDefault="00AD24F1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sso a Passo do Processo: Aquisição de material por inexigibilidade/ dispensa de licitação.</w:t>
      </w:r>
    </w:p>
    <w:tbl>
      <w:tblPr>
        <w:tblStyle w:val="a8"/>
        <w:tblW w:w="8358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554"/>
        <w:gridCol w:w="5953"/>
      </w:tblGrid>
      <w:tr w:rsidR="00396C72">
        <w:tc>
          <w:tcPr>
            <w:tcW w:w="851" w:type="dxa"/>
            <w:shd w:val="clear" w:color="auto" w:fill="002060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bookmarkStart w:id="4" w:name="_heading=h.1fob9te" w:colFirst="0" w:colLast="0"/>
            <w:bookmarkEnd w:id="4"/>
            <w:r>
              <w:rPr>
                <w:rFonts w:ascii="Times New Roman" w:eastAsia="Times New Roman" w:hAnsi="Times New Roman" w:cs="Times New Roman"/>
                <w:color w:val="FFFFFF"/>
              </w:rPr>
              <w:t>Etapa</w:t>
            </w:r>
          </w:p>
        </w:tc>
        <w:tc>
          <w:tcPr>
            <w:tcW w:w="1554" w:type="dxa"/>
            <w:shd w:val="clear" w:color="auto" w:fill="002060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Quem Faz?</w:t>
            </w:r>
          </w:p>
        </w:tc>
        <w:tc>
          <w:tcPr>
            <w:tcW w:w="5953" w:type="dxa"/>
            <w:shd w:val="clear" w:color="auto" w:fill="002060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O que faz?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Unidade requisitante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widowControl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Cadastrar processo eletrônico no SIPAC</w:t>
            </w:r>
            <w:r>
              <w:rPr>
                <w:rFonts w:ascii="Times New Roman" w:eastAsia="Times New Roman" w:hAnsi="Times New Roman" w:cs="Times New Roman"/>
              </w:rPr>
              <w:t xml:space="preserve"> (Tipo: dispensa/ inexigibilidade de licitação; Assunto: 031.12 ou 031.11),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contendo toda a documentação listada nas informações gerais deste documento.</w:t>
            </w:r>
          </w:p>
          <w:p w:rsidR="00396C72" w:rsidRDefault="00AD24F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Enviar processo para a Divisão de Material</w:t>
            </w:r>
            <w:r>
              <w:rPr>
                <w:rFonts w:ascii="Times New Roman" w:eastAsia="Times New Roman" w:hAnsi="Times New Roman" w:cs="Times New Roman"/>
              </w:rPr>
              <w:t xml:space="preserve">  (11.01.08.02.06).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Material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Receber processo.</w:t>
            </w:r>
          </w:p>
          <w:p w:rsidR="00396C72" w:rsidRDefault="00AD24F1">
            <w:pPr>
              <w:widowControl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Analisar a solicitação e a instrução processual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96C72" w:rsidRDefault="00AD24F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Caso sejam identificadas inconsistências ou pendências na documentação ou na natureza do pedido, o processo é devolvido à unidade requisitante para correção/complementação.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Material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widowControl/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Concluída a análise do processo, se não houver inconsistências ou caso estas tenham sido sanadas,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consultar </w:t>
            </w:r>
            <w:hyperlink r:id="rId22">
              <w:r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</w:rPr>
                <w:t>SICAF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563C1"/>
                <w:u w:val="singl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hyperlink r:id="rId23">
              <w:r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</w:rPr>
                <w:t>consolidada do TCU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 xml:space="preserve"> e CADIN para verificar a regularidade fiscal, trabalhista e impedimentos do fornecedor.</w:t>
            </w:r>
          </w:p>
          <w:p w:rsidR="00396C72" w:rsidRDefault="00AD2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Anexar certidões emitidas ao processo no SIPAC.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Material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Caso o fornecedor possua algum impedimento, </w:t>
            </w:r>
            <w:r>
              <w:rPr>
                <w:rFonts w:ascii="Times New Roman" w:eastAsia="Times New Roman" w:hAnsi="Times New Roman" w:cs="Times New Roman"/>
                <w:b/>
              </w:rPr>
              <w:t>devolver o processo à Unidade requisitante informando que não é possível executar a compra devido ao impedimento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</w:rPr>
              <w:t>Nesse caso, o fluxo é encerrado.</w:t>
            </w:r>
          </w:p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*No caso de dispensa de licitação, antes de devolver o processo a</w:t>
            </w:r>
            <w:r>
              <w:rPr>
                <w:rFonts w:ascii="Times New Roman" w:eastAsia="Times New Roman" w:hAnsi="Times New Roman" w:cs="Times New Roman"/>
                <w:i/>
              </w:rPr>
              <w:t>o requisitante, verifica-se a regularidade do SICAF do fornecedor com a 2ª melhor proposta dentre as apresentadas no processo, e assim por diante, até que não restem mais opções.</w:t>
            </w:r>
          </w:p>
          <w:p w:rsidR="00396C72" w:rsidRDefault="00AD24F1">
            <w:pPr>
              <w:widowControl/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Caso o fornecedor esteja com certidões vencidas, </w:t>
            </w:r>
            <w:r>
              <w:rPr>
                <w:rFonts w:ascii="Times New Roman" w:eastAsia="Times New Roman" w:hAnsi="Times New Roman" w:cs="Times New Roman"/>
                <w:b/>
              </w:rPr>
              <w:t>solicitar, por e-mail, ao fo</w:t>
            </w:r>
            <w:r>
              <w:rPr>
                <w:rFonts w:ascii="Times New Roman" w:eastAsia="Times New Roman" w:hAnsi="Times New Roman" w:cs="Times New Roman"/>
                <w:b/>
              </w:rPr>
              <w:t>rnecedor a regularização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</w:rPr>
              <w:t>Seguir para a etapa seguinte apenas depois da regularização.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Material</w:t>
            </w:r>
          </w:p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(Seção de Compras)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widowControl/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Caso esteja tudo regular com o fornecedor,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lançar ETP no sistema </w:t>
            </w: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Compras.gov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>/Módulo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ETP Digital.</w:t>
            </w:r>
          </w:p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Anexar ao processo no SIPAC o ETP Digital.</w:t>
            </w:r>
          </w:p>
          <w:p w:rsidR="00396C72" w:rsidRDefault="00AD24F1">
            <w:pPr>
              <w:spacing w:line="25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*Acesse </w:t>
            </w:r>
            <w:hyperlink r:id="rId25">
              <w:r>
                <w:rPr>
                  <w:rFonts w:ascii="Times New Roman" w:eastAsia="Times New Roman" w:hAnsi="Times New Roman" w:cs="Times New Roman"/>
                  <w:i/>
                  <w:color w:val="0563C1"/>
                  <w:u w:val="single"/>
                </w:rPr>
                <w:t>aqui</w:t>
              </w:r>
            </w:hyperlink>
            <w:r>
              <w:rPr>
                <w:rFonts w:ascii="Times New Roman" w:eastAsia="Times New Roman" w:hAnsi="Times New Roman" w:cs="Times New Roman"/>
                <w:i/>
              </w:rPr>
              <w:t xml:space="preserve"> o Manual do ETP Digital.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Material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widowControl/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nexar despacho para aprovação do Termo de Referência e E</w:t>
            </w:r>
            <w:r>
              <w:rPr>
                <w:rFonts w:ascii="Times New Roman" w:eastAsia="Times New Roman" w:hAnsi="Times New Roman" w:cs="Times New Roman"/>
                <w:b/>
              </w:rPr>
              <w:t>TP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 e autorização da dispensa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ou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inexigibilidade de licitação.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Pró-Reitor de Administração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widowControl/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Assinar despacho de aprovação do Termo de Referência e </w:t>
            </w:r>
            <w:r>
              <w:rPr>
                <w:rFonts w:ascii="Times New Roman" w:eastAsia="Times New Roman" w:hAnsi="Times New Roman" w:cs="Times New Roman"/>
                <w:b/>
              </w:rPr>
              <w:t>ETP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 e autorização da dispensa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ou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inexigibilidade.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Material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Realizar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check-list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do processo conforme lista de verificação da AGU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96C72" w:rsidRDefault="00AD24F1">
            <w:pPr>
              <w:widowControl/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Acesse </w:t>
            </w:r>
            <w:hyperlink r:id="rId26">
              <w:r>
                <w:rPr>
                  <w:rFonts w:ascii="Times New Roman" w:eastAsia="Times New Roman" w:hAnsi="Times New Roman" w:cs="Times New Roman"/>
                  <w:i/>
                  <w:color w:val="0563C1"/>
                  <w:u w:val="single"/>
                </w:rPr>
                <w:t>aqui</w:t>
              </w:r>
            </w:hyperlink>
            <w:r>
              <w:rPr>
                <w:rFonts w:ascii="Times New Roman" w:eastAsia="Times New Roman" w:hAnsi="Times New Roman" w:cs="Times New Roman"/>
                <w:i/>
              </w:rPr>
              <w:t xml:space="preserve"> o modelo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Material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Caso existam dúvidas a respeito da legalidade do processo e/ou o valor da contratação ultrapasse os limites previsto no inciso II do artigo 75 da Lei nº 14.133/21,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enviar processo para a PRA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(11.00.47) para solicitação de parecer juríd</w:t>
            </w:r>
            <w:r>
              <w:rPr>
                <w:rFonts w:ascii="Times New Roman" w:eastAsia="Times New Roman" w:hAnsi="Times New Roman" w:cs="Times New Roman"/>
                <w:b/>
              </w:rPr>
              <w:t>ico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96C72" w:rsidRDefault="00AD24F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Quando </w:t>
            </w: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  <w:r>
              <w:rPr>
                <w:rFonts w:ascii="Times New Roman" w:eastAsia="Times New Roman" w:hAnsi="Times New Roman" w:cs="Times New Roman"/>
              </w:rPr>
              <w:t xml:space="preserve"> exista necessidade de análise jurídica,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pular para a etapa 14.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Receber processo.</w:t>
            </w:r>
          </w:p>
          <w:p w:rsidR="00396C72" w:rsidRDefault="00AD24F1">
            <w:pPr>
              <w:spacing w:before="120" w:line="25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Solicitar à Procuradoria Jurídica </w:t>
            </w:r>
            <w:r>
              <w:rPr>
                <w:rFonts w:ascii="Times New Roman" w:eastAsia="Times New Roman" w:hAnsi="Times New Roman" w:cs="Times New Roman"/>
              </w:rPr>
              <w:t>(11.01.05)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a emissão de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parecer jurídico. 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Procuradoria Jurídica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Receber processo.</w:t>
            </w:r>
          </w:p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Apreciar conteúdo processual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96C72" w:rsidRDefault="00AD24F1">
            <w:pPr>
              <w:spacing w:before="120" w:line="257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Enviar processo para a PRA (11.00.47).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spacing w:before="120" w:after="12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Receber processo.</w:t>
            </w:r>
          </w:p>
          <w:p w:rsidR="00396C72" w:rsidRDefault="00AD24F1">
            <w:pPr>
              <w:spacing w:before="12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Enviar processo com o parecer jurídico para a Divisão de Material</w:t>
            </w:r>
            <w:r>
              <w:rPr>
                <w:rFonts w:ascii="Times New Roman" w:eastAsia="Times New Roman" w:hAnsi="Times New Roman" w:cs="Times New Roman"/>
              </w:rPr>
              <w:t xml:space="preserve">  (11.01.08.02.06).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Material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Receber processo.</w:t>
            </w:r>
          </w:p>
          <w:p w:rsidR="00396C72" w:rsidRDefault="00AD2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Caso o parecer jurídico seja favorável, mas tenha ressalvas,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ajustar as pendências necessárias e adicionar despacho informando que foram atendidas todas as recomendações do parecer.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Material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Resolvida todas as pendências,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solicitar ao ordenador de despesas autorização para emitir a nota de empenho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96C72" w:rsidRDefault="00AD2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9FBF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Enviar processo para a Pró-Reitoria de Administração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(11.00.47).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Pró-Reitor de Administração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widowControl/>
              <w:spacing w:after="12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Receber processo.</w:t>
            </w:r>
          </w:p>
          <w:p w:rsidR="00396C72" w:rsidRDefault="00AD24F1">
            <w:pPr>
              <w:widowControl/>
              <w:spacing w:after="12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Autorizar a emissão da nota de empenho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</w:t>
            </w:r>
          </w:p>
          <w:p w:rsidR="00396C72" w:rsidRDefault="00AD24F1">
            <w:pPr>
              <w:widowControl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Enviar processo para a Divisão de Material</w:t>
            </w:r>
            <w:r>
              <w:rPr>
                <w:rFonts w:ascii="Times New Roman" w:eastAsia="Times New Roman" w:hAnsi="Times New Roman" w:cs="Times New Roman"/>
              </w:rPr>
              <w:t xml:space="preserve">  (11.01.08.02.06).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Seção de empenhos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Incluir inexigibilidade ou dispensa no </w:t>
            </w:r>
            <w:hyperlink r:id="rId27">
              <w:r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</w:rPr>
                <w:t>Compras.gov/Módulo Divulgação de Compras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96C72" w:rsidRDefault="00AD24F1">
            <w:pPr>
              <w:widowControl/>
              <w:rPr>
                <w:rFonts w:ascii="Times New Roman" w:eastAsia="Times New Roman" w:hAnsi="Times New Roman" w:cs="Times New Roman"/>
                <w:color w:val="000000"/>
                <w:shd w:val="clear" w:color="auto" w:fill="F9FBFD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Acesse </w:t>
            </w:r>
            <w:hyperlink r:id="rId28">
              <w:r>
                <w:rPr>
                  <w:rFonts w:ascii="Times New Roman" w:eastAsia="Times New Roman" w:hAnsi="Times New Roman" w:cs="Times New Roman"/>
                  <w:i/>
                  <w:color w:val="0563C1"/>
                  <w:u w:val="single"/>
                </w:rPr>
                <w:t>aqui</w:t>
              </w:r>
            </w:hyperlink>
            <w:r>
              <w:rPr>
                <w:rFonts w:ascii="Times New Roman" w:eastAsia="Times New Roman" w:hAnsi="Times New Roman" w:cs="Times New Roman"/>
                <w:i/>
              </w:rPr>
              <w:t xml:space="preserve"> o Manual do usuário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Seção de empenhos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widowControl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Enviar,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até as 16h, para publica</w:t>
            </w: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ção no DOU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extrato de inexigibilidade</w:t>
            </w: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ou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dispensa.</w:t>
            </w:r>
          </w:p>
          <w:p w:rsidR="00396C72" w:rsidRDefault="00AD24F1">
            <w:pPr>
              <w:widowControl/>
              <w:rPr>
                <w:rFonts w:ascii="Times New Roman" w:eastAsia="Times New Roman" w:hAnsi="Times New Roman" w:cs="Times New Roman"/>
                <w:color w:val="000000"/>
                <w:shd w:val="clear" w:color="auto" w:fill="F9FBF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Após a publicação, anexar o extrato ao processo.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Seção de empenhos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Caso esteja tudo regular com as certidões do fornecedor (</w:t>
            </w:r>
            <w:hyperlink r:id="rId29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SICAF</w:t>
              </w:r>
            </w:hyperlink>
            <w:r>
              <w:rPr>
                <w:rFonts w:ascii="Times New Roman" w:eastAsia="Times New Roman" w:hAnsi="Times New Roman" w:cs="Times New Roman"/>
                <w:color w:val="0563C1"/>
                <w:u w:val="singl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30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consolidade do TCU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 CADIN), </w:t>
            </w:r>
            <w:r>
              <w:rPr>
                <w:rFonts w:ascii="Times New Roman" w:eastAsia="Times New Roman" w:hAnsi="Times New Roman" w:cs="Times New Roman"/>
                <w:b/>
              </w:rPr>
              <w:t>emitir empenho no Compras.go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v/Módulo </w:t>
            </w:r>
            <w:hyperlink r:id="rId31">
              <w:r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</w:rPr>
                <w:t>Sistema de Contratos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Passo a passo no sistema </w:t>
            </w:r>
            <w:hyperlink r:id="rId32">
              <w:r>
                <w:rPr>
                  <w:rFonts w:ascii="Times New Roman" w:eastAsia="Times New Roman" w:hAnsi="Times New Roman" w:cs="Times New Roman"/>
                  <w:i/>
                  <w:color w:val="0563C1"/>
                  <w:u w:val="single"/>
                </w:rPr>
                <w:t>AQ</w:t>
              </w:r>
              <w:r>
                <w:rPr>
                  <w:rFonts w:ascii="Times New Roman" w:eastAsia="Times New Roman" w:hAnsi="Times New Roman" w:cs="Times New Roman"/>
                  <w:i/>
                  <w:color w:val="0563C1"/>
                  <w:u w:val="single"/>
                </w:rPr>
                <w:t>UI</w:t>
              </w:r>
            </w:hyperlink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396C72" w:rsidRDefault="00AD24F1">
            <w:pPr>
              <w:widowControl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Recolher as assinaturas de autorização do empenho (ordenador de despesas e gestor financeiro).</w:t>
            </w:r>
          </w:p>
          <w:p w:rsidR="00396C72" w:rsidRDefault="00AD2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Anexar certidões e nota de empenho ao processo.</w:t>
            </w:r>
          </w:p>
          <w:p w:rsidR="00396C72" w:rsidRDefault="00AD24F1">
            <w:pPr>
              <w:spacing w:before="120" w:line="25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Preencher Planilha de Controle de Empenhos-DM </w:t>
            </w:r>
            <w:r>
              <w:rPr>
                <w:rFonts w:ascii="Times New Roman" w:eastAsia="Times New Roman" w:hAnsi="Times New Roman" w:cs="Times New Roman"/>
              </w:rPr>
              <w:t>com as informações do empenho emitido.</w:t>
            </w:r>
          </w:p>
        </w:tc>
      </w:tr>
      <w:tr w:rsidR="00396C72">
        <w:tc>
          <w:tcPr>
            <w:tcW w:w="851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Seção de empenhos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Cadastrar nota de empenho no SIPAC.</w:t>
            </w:r>
          </w:p>
          <w:p w:rsidR="00396C72" w:rsidRDefault="00AD24F1">
            <w:pPr>
              <w:widowControl/>
              <w:spacing w:after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Caminho: </w:t>
            </w:r>
            <w:sdt>
              <w:sdtPr>
                <w:tag w:val="goog_rdk_0"/>
                <w:id w:val="-1285726048"/>
              </w:sdtPr>
              <w:sdtEndPr/>
              <w:sdtContent>
                <w:r>
                  <w:rPr>
                    <w:rFonts w:ascii="Cardo" w:eastAsia="Cardo" w:hAnsi="Cardo" w:cs="Cardo"/>
                    <w:i/>
                  </w:rPr>
                  <w:t>SIPAC → Módulos → Orçamento → Movimentações → Registrar nota de empenho.</w:t>
                </w:r>
              </w:sdtContent>
            </w:sdt>
          </w:p>
          <w:p w:rsidR="00396C72" w:rsidRDefault="00AD24F1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*Passo a passo no SIPAC </w:t>
            </w:r>
            <w:hyperlink r:id="rId33">
              <w:r>
                <w:rPr>
                  <w:rFonts w:ascii="Times New Roman" w:eastAsia="Times New Roman" w:hAnsi="Times New Roman" w:cs="Times New Roman"/>
                  <w:i/>
                  <w:color w:val="1155CC"/>
                  <w:u w:val="single"/>
                </w:rPr>
                <w:t>AQUI</w:t>
              </w:r>
            </w:hyperlink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396C72">
        <w:tc>
          <w:tcPr>
            <w:tcW w:w="851" w:type="dxa"/>
            <w:shd w:val="clear" w:color="auto" w:fill="auto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Seção de empenhos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Enviar, por e-mail, nota de empenho à Seção de Cadastro/PRA.</w:t>
            </w:r>
          </w:p>
        </w:tc>
      </w:tr>
      <w:tr w:rsidR="00396C72">
        <w:tc>
          <w:tcPr>
            <w:tcW w:w="851" w:type="dxa"/>
            <w:shd w:val="clear" w:color="auto" w:fill="auto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Seção de cadastro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96C72" w:rsidRDefault="00AD24F1">
            <w:pPr>
              <w:widowControl/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Verificar se o fornecedor possui cadastro no SIPAC.</w:t>
            </w:r>
          </w:p>
          <w:p w:rsidR="00396C72" w:rsidRDefault="00AD24F1">
            <w:pPr>
              <w:widowControl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sim, </w:t>
            </w:r>
            <w:r>
              <w:rPr>
                <w:rFonts w:ascii="Times New Roman" w:eastAsia="Times New Roman" w:hAnsi="Times New Roman" w:cs="Times New Roman"/>
              </w:rPr>
              <w:t>pular para a etapa seguinte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(etapa 22)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96C72" w:rsidRDefault="00AD24F1">
            <w:pPr>
              <w:widowControl/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b/>
              </w:rPr>
              <w:t>contrário, cadastrar fornecedor no SIPAC.</w:t>
            </w:r>
          </w:p>
          <w:p w:rsidR="00396C72" w:rsidRDefault="00AD24F1">
            <w:pPr>
              <w:widowControl/>
              <w:spacing w:after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Caminho: </w:t>
            </w:r>
            <w:sdt>
              <w:sdtPr>
                <w:tag w:val="goog_rdk_1"/>
                <w:id w:val="1148550860"/>
              </w:sdtPr>
              <w:sdtEndPr/>
              <w:sdtContent>
                <w:r>
                  <w:rPr>
                    <w:rFonts w:ascii="Cardo" w:eastAsia="Cardo" w:hAnsi="Cardo" w:cs="Cardo"/>
                    <w:i/>
                  </w:rPr>
                  <w:t xml:space="preserve">SIPAC → Módulos → </w:t>
                </w:r>
              </w:sdtContent>
            </w:sdt>
            <w:r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  <w:t xml:space="preserve">Liquidação de Despesas </w:t>
            </w:r>
            <w:sdt>
              <w:sdtPr>
                <w:tag w:val="goog_rdk_2"/>
                <w:id w:val="-1333901998"/>
              </w:sdtPr>
              <w:sdtEndPr/>
              <w:sdtContent>
                <w:r>
                  <w:rPr>
                    <w:rFonts w:ascii="Cardo" w:eastAsia="Cardo" w:hAnsi="Cardo" w:cs="Cardo"/>
                    <w:i/>
                  </w:rPr>
                  <w:t>→ Liquidação de Despesas → Fornecedor → Cadastrar usuár</w:t>
                </w:r>
                <w:r>
                  <w:rPr>
                    <w:rFonts w:ascii="Cardo" w:eastAsia="Cardo" w:hAnsi="Cardo" w:cs="Cardo"/>
                    <w:i/>
                  </w:rPr>
                  <w:t>io</w:t>
                </w:r>
              </w:sdtContent>
            </w:sdt>
          </w:p>
          <w:p w:rsidR="00396C72" w:rsidRDefault="00AD24F1">
            <w:pPr>
              <w:widowControl/>
              <w:spacing w:after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</w:rPr>
              <w:t xml:space="preserve">Caminho: </w:t>
            </w:r>
            <w:sdt>
              <w:sdtPr>
                <w:tag w:val="goog_rdk_3"/>
                <w:id w:val="-1139330351"/>
              </w:sdtPr>
              <w:sdtEndPr/>
              <w:sdtContent>
                <w:r>
                  <w:rPr>
                    <w:rFonts w:ascii="Cardo" w:eastAsia="Cardo" w:hAnsi="Cardo" w:cs="Cardo"/>
                    <w:i/>
                  </w:rPr>
                  <w:t>SIPAC → Mudar de Sistema → Cadastro → Fornecedor →  Listar/Alterar e atualizar o e-mail conforme SICAF.</w:t>
                </w:r>
              </w:sdtContent>
            </w:sdt>
          </w:p>
          <w:p w:rsidR="00396C72" w:rsidRDefault="00AD24F1">
            <w:pPr>
              <w:widowControl/>
              <w:spacing w:after="12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*Passo a passo no SIPAC </w:t>
            </w:r>
            <w:hyperlink r:id="rId34">
              <w:r>
                <w:rPr>
                  <w:rFonts w:ascii="Times New Roman" w:eastAsia="Times New Roman" w:hAnsi="Times New Roman" w:cs="Times New Roman"/>
                  <w:i/>
                  <w:color w:val="1155CC"/>
                  <w:u w:val="single"/>
                </w:rPr>
                <w:t>AQUI</w:t>
              </w:r>
            </w:hyperlink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396C72" w:rsidRDefault="00AD24F1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Enviar, via e-mail, ao fornecedor as instruções de acesso ao SIPAC, informando login e senha de acesso.</w:t>
            </w:r>
          </w:p>
        </w:tc>
      </w:tr>
      <w:tr w:rsidR="00396C72">
        <w:tc>
          <w:tcPr>
            <w:tcW w:w="851" w:type="dxa"/>
            <w:shd w:val="clear" w:color="auto" w:fill="auto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Seção de cadastro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96C72" w:rsidRDefault="00AD24F1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Enviar empenho ao fornecedor, via SIPAC,</w:t>
            </w:r>
            <w:r>
              <w:rPr>
                <w:rFonts w:ascii="Times New Roman" w:eastAsia="Times New Roman" w:hAnsi="Times New Roman" w:cs="Times New Roman"/>
              </w:rPr>
              <w:t xml:space="preserve"> para que seja executada a entrega da mercadoria (</w:t>
            </w:r>
            <w:hyperlink r:id="rId3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prosseguir com o fluxo de recebimento e distribuição do material</w:t>
              </w:r>
            </w:hyperlink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396C72" w:rsidRDefault="00AD24F1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Caminho: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tag w:val="goog_rdk_4"/>
                <w:id w:val="-575900546"/>
              </w:sdtPr>
              <w:sdtEndPr/>
              <w:sdtContent>
                <w:r>
                  <w:rPr>
                    <w:rFonts w:ascii="Cardo" w:eastAsia="Cardo" w:hAnsi="Cardo" w:cs="Cardo"/>
                    <w:i/>
                  </w:rPr>
                  <w:t xml:space="preserve">SIPAC → Módulos → </w:t>
                </w:r>
              </w:sdtContent>
            </w:sdt>
            <w:r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  <w:t xml:space="preserve">Liquidação de Despesas </w:t>
            </w:r>
            <w:sdt>
              <w:sdtPr>
                <w:tag w:val="goog_rdk_5"/>
                <w:id w:val="1371184930"/>
              </w:sdtPr>
              <w:sdtEndPr/>
              <w:sdtContent>
                <w:r>
                  <w:rPr>
                    <w:rFonts w:ascii="Cardo" w:eastAsia="Cardo" w:hAnsi="Cardo" w:cs="Cardo"/>
                    <w:i/>
                  </w:rPr>
                  <w:t>→ Fornecedor → Enviar empenho.</w:t>
                </w:r>
              </w:sdtContent>
            </w:sdt>
          </w:p>
        </w:tc>
      </w:tr>
      <w:tr w:rsidR="00396C72">
        <w:tc>
          <w:tcPr>
            <w:tcW w:w="851" w:type="dxa"/>
            <w:shd w:val="clear" w:color="auto" w:fill="auto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396C72" w:rsidRDefault="00AD24F1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Seção de cadastro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396C72" w:rsidRDefault="00AD24F1">
            <w:pPr>
              <w:spacing w:before="120" w:after="120" w:line="257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Preencher Planilha de Controle de Empenhos-DM </w:t>
            </w:r>
            <w:r>
              <w:rPr>
                <w:rFonts w:ascii="Times New Roman" w:eastAsia="Times New Roman" w:hAnsi="Times New Roman" w:cs="Times New Roman"/>
              </w:rPr>
              <w:t>com a data de envio ao fornecedor e observações (se houver).</w:t>
            </w:r>
          </w:p>
          <w:p w:rsidR="00396C72" w:rsidRDefault="00AD24F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Preencher Planilha de Confirmação de Recebimento dos Empenhos </w:t>
            </w:r>
            <w:r>
              <w:rPr>
                <w:rFonts w:ascii="Times New Roman" w:eastAsia="Times New Roman" w:hAnsi="Times New Roman" w:cs="Times New Roman"/>
              </w:rPr>
              <w:t>com todos os campos pertinentes (fornecedor, e-mail, login, senha, empenho, data de envio).</w:t>
            </w:r>
          </w:p>
        </w:tc>
      </w:tr>
    </w:tbl>
    <w:p w:rsidR="00396C72" w:rsidRDefault="00396C72">
      <w:pPr>
        <w:rPr>
          <w:rFonts w:ascii="Times New Roman" w:eastAsia="Times New Roman" w:hAnsi="Times New Roman" w:cs="Times New Roman"/>
        </w:rPr>
      </w:pPr>
    </w:p>
    <w:p w:rsidR="00396C72" w:rsidRDefault="00AD24F1">
      <w:pPr>
        <w:pStyle w:val="Ttulo1"/>
        <w:numPr>
          <w:ilvl w:val="0"/>
          <w:numId w:val="1"/>
        </w:numPr>
        <w:spacing w:line="360" w:lineRule="auto"/>
        <w:ind w:left="221" w:firstLine="0"/>
      </w:pPr>
      <w:r>
        <w:t>FORMULÁRIOS E MODELOS CORRELATOS</w:t>
      </w:r>
    </w:p>
    <w:p w:rsidR="00396C72" w:rsidRDefault="00AD24F1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Documento de Formalização da Demanda – Materiais – Disponível em: </w:t>
      </w:r>
      <w:hyperlink r:id="rId3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Site da PRA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6C72" w:rsidRDefault="00AD24F1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Estudo Técnico Preliminar – Disponível em: </w:t>
      </w:r>
      <w:hyperlink r:id="rId3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Site da PRA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6C72" w:rsidRDefault="00AD24F1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3znysh7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Modelo de justificativa – Disponível em: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9900"/>
        </w:rPr>
        <w:t>Site da PRA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6C72" w:rsidRDefault="00AD24F1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Modelos de minutas padrões de termo de referência, edital de licitação e contrato. Disponível em: </w:t>
      </w:r>
      <w:hyperlink r:id="rId3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site do AGU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6C72" w:rsidRDefault="00AD24F1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Modelos de listas de verificação da AGU. Disponív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em: </w:t>
      </w:r>
      <w:hyperlink r:id="rId3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site do AGU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6C72" w:rsidRDefault="00AD24F1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heading=h.2et92p0" w:colFirst="0" w:colLast="0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Lista de requisitantes material – Disponível em: </w:t>
      </w:r>
      <w:hyperlink r:id="rId4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site da PRA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6C72" w:rsidRDefault="00396C7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6nx0h9vd329" w:colFirst="0" w:colLast="0"/>
      <w:bookmarkEnd w:id="7"/>
    </w:p>
    <w:p w:rsidR="00396C72" w:rsidRDefault="00396C7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59chij5qs8bu" w:colFirst="0" w:colLast="0"/>
      <w:bookmarkEnd w:id="8"/>
    </w:p>
    <w:p w:rsidR="00396C72" w:rsidRDefault="00396C7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bunaapdspfrz" w:colFirst="0" w:colLast="0"/>
      <w:bookmarkEnd w:id="9"/>
    </w:p>
    <w:p w:rsidR="00396C72" w:rsidRDefault="00396C7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fje8laozl2km" w:colFirst="0" w:colLast="0"/>
      <w:bookmarkEnd w:id="10"/>
    </w:p>
    <w:p w:rsidR="00396C72" w:rsidRDefault="00396C7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eading=h.uytlerko7j9b" w:colFirst="0" w:colLast="0"/>
      <w:bookmarkEnd w:id="11"/>
    </w:p>
    <w:p w:rsidR="00396C72" w:rsidRDefault="00396C7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grhdoq1l4ymf" w:colFirst="0" w:colLast="0"/>
      <w:bookmarkEnd w:id="12"/>
    </w:p>
    <w:p w:rsidR="00396C72" w:rsidRDefault="00396C7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eading=h.9lw7ta5ut5gm" w:colFirst="0" w:colLast="0"/>
      <w:bookmarkEnd w:id="13"/>
    </w:p>
    <w:p w:rsidR="00396C72" w:rsidRDefault="00396C7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eading=h.x50b5jynf7q" w:colFirst="0" w:colLast="0"/>
      <w:bookmarkEnd w:id="14"/>
    </w:p>
    <w:p w:rsidR="00396C72" w:rsidRDefault="00396C7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eading=h.pjz6a1bdt1dr" w:colFirst="0" w:colLast="0"/>
      <w:bookmarkEnd w:id="15"/>
    </w:p>
    <w:p w:rsidR="00396C72" w:rsidRDefault="00396C7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eading=h.qgcoa4el7js2" w:colFirst="0" w:colLast="0"/>
      <w:bookmarkEnd w:id="16"/>
    </w:p>
    <w:p w:rsidR="00396C72" w:rsidRDefault="00396C7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eading=h.lncfzn4oomtl" w:colFirst="0" w:colLast="0"/>
      <w:bookmarkEnd w:id="17"/>
    </w:p>
    <w:p w:rsidR="00396C72" w:rsidRDefault="00396C7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eading=h.og1ephc7f4r7" w:colFirst="0" w:colLast="0"/>
      <w:bookmarkEnd w:id="18"/>
    </w:p>
    <w:p w:rsidR="00396C72" w:rsidRDefault="00396C7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eading=h.wgky97mo0f9h" w:colFirst="0" w:colLast="0"/>
      <w:bookmarkEnd w:id="19"/>
    </w:p>
    <w:p w:rsidR="00396C72" w:rsidRDefault="00AD24F1">
      <w:pPr>
        <w:pStyle w:val="Ttulo1"/>
        <w:numPr>
          <w:ilvl w:val="0"/>
          <w:numId w:val="1"/>
        </w:numPr>
        <w:ind w:left="720"/>
      </w:pPr>
      <w:r>
        <w:t>FLUXOGRAMA</w:t>
      </w:r>
    </w:p>
    <w:p w:rsidR="00396C72" w:rsidRDefault="00AD24F1">
      <w:pPr>
        <w:spacing w:after="1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lang w:val="pt-BR"/>
        </w:rPr>
        <w:drawing>
          <wp:inline distT="114300" distB="114300" distL="114300" distR="114300">
            <wp:extent cx="5400675" cy="4429442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1"/>
                    <a:srcRect b="905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4294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6C72" w:rsidRDefault="00396C72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C72" w:rsidRDefault="00AD24F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CONTATO </w:t>
      </w:r>
    </w:p>
    <w:p w:rsidR="00396C72" w:rsidRDefault="00AD24F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Divisão de Material/PRA</w:t>
      </w:r>
    </w:p>
    <w:p w:rsidR="00396C72" w:rsidRDefault="00AD24F1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 dm@pra.ufpb.br</w:t>
      </w:r>
    </w:p>
    <w:p w:rsidR="00396C72" w:rsidRDefault="00AD24F1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(83) 3216-7443</w:t>
      </w:r>
    </w:p>
    <w:p w:rsidR="00396C72" w:rsidRDefault="00396C7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C72" w:rsidRDefault="00AD24F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Seção de Empenhos/DM/PRA</w:t>
      </w:r>
    </w:p>
    <w:p w:rsidR="00396C72" w:rsidRDefault="00AD24F1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 dm-empenhos@pra.ufpb.br</w:t>
      </w:r>
    </w:p>
    <w:p w:rsidR="00396C72" w:rsidRDefault="00AD24F1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(83) 3216-7166</w:t>
      </w:r>
    </w:p>
    <w:p w:rsidR="00396C72" w:rsidRDefault="00396C72">
      <w:pPr>
        <w:widowControl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396C72" w:rsidRDefault="00396C72">
      <w:pPr>
        <w:widowControl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396C72" w:rsidRDefault="00AD24F1">
      <w:pPr>
        <w:tabs>
          <w:tab w:val="left" w:pos="56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CONTROLE DE REVISÃO </w:t>
      </w:r>
    </w:p>
    <w:tbl>
      <w:tblPr>
        <w:tblStyle w:val="a9"/>
        <w:tblW w:w="849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1320"/>
        <w:gridCol w:w="1650"/>
        <w:gridCol w:w="1455"/>
        <w:gridCol w:w="3000"/>
      </w:tblGrid>
      <w:tr w:rsidR="00396C72">
        <w:tc>
          <w:tcPr>
            <w:tcW w:w="1065" w:type="dxa"/>
            <w:vAlign w:val="center"/>
          </w:tcPr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Revisão</w:t>
            </w:r>
          </w:p>
        </w:tc>
        <w:tc>
          <w:tcPr>
            <w:tcW w:w="1320" w:type="dxa"/>
            <w:vAlign w:val="center"/>
          </w:tcPr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650" w:type="dxa"/>
            <w:vAlign w:val="center"/>
          </w:tcPr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Histórico das Revisões</w:t>
            </w:r>
          </w:p>
        </w:tc>
        <w:tc>
          <w:tcPr>
            <w:tcW w:w="1455" w:type="dxa"/>
            <w:vAlign w:val="center"/>
          </w:tcPr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Item(ns) Revisado(s)</w:t>
            </w:r>
          </w:p>
        </w:tc>
        <w:tc>
          <w:tcPr>
            <w:tcW w:w="3000" w:type="dxa"/>
            <w:vAlign w:val="center"/>
          </w:tcPr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Revisado por</w:t>
            </w:r>
          </w:p>
        </w:tc>
      </w:tr>
      <w:tr w:rsidR="00396C72">
        <w:tc>
          <w:tcPr>
            <w:tcW w:w="1065" w:type="dxa"/>
            <w:vAlign w:val="center"/>
          </w:tcPr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20" w:type="dxa"/>
            <w:vAlign w:val="center"/>
          </w:tcPr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15/02/2023</w:t>
            </w:r>
          </w:p>
        </w:tc>
        <w:tc>
          <w:tcPr>
            <w:tcW w:w="1650" w:type="dxa"/>
            <w:vAlign w:val="center"/>
          </w:tcPr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Revisão Final</w:t>
            </w:r>
          </w:p>
        </w:tc>
        <w:tc>
          <w:tcPr>
            <w:tcW w:w="1455" w:type="dxa"/>
            <w:vAlign w:val="center"/>
          </w:tcPr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Todos</w:t>
            </w:r>
          </w:p>
        </w:tc>
        <w:tc>
          <w:tcPr>
            <w:tcW w:w="3000" w:type="dxa"/>
            <w:vAlign w:val="center"/>
          </w:tcPr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Cibele Maria Botto Falcão;  e</w:t>
            </w:r>
          </w:p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Sávia Rodrigues Martins Barros</w:t>
            </w:r>
          </w:p>
        </w:tc>
      </w:tr>
      <w:tr w:rsidR="00396C72">
        <w:tc>
          <w:tcPr>
            <w:tcW w:w="1065" w:type="dxa"/>
            <w:vAlign w:val="center"/>
          </w:tcPr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20" w:type="dxa"/>
            <w:vAlign w:val="center"/>
          </w:tcPr>
          <w:p w:rsidR="00396C72" w:rsidRDefault="00396C72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396C72" w:rsidRDefault="00396C72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396C72" w:rsidRDefault="00396C72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:rsidR="00396C72" w:rsidRDefault="00396C72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6C72" w:rsidRDefault="00396C72">
      <w:pPr>
        <w:rPr>
          <w:rFonts w:ascii="Times New Roman" w:eastAsia="Times New Roman" w:hAnsi="Times New Roman" w:cs="Times New Roman"/>
        </w:rPr>
      </w:pPr>
    </w:p>
    <w:tbl>
      <w:tblPr>
        <w:tblStyle w:val="aa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2844"/>
        <w:gridCol w:w="2800"/>
      </w:tblGrid>
      <w:tr w:rsidR="00396C72">
        <w:tc>
          <w:tcPr>
            <w:tcW w:w="2850" w:type="dxa"/>
            <w:vAlign w:val="center"/>
          </w:tcPr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Elaborado por: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Rebeca Honorato Neiva</w:t>
            </w:r>
          </w:p>
        </w:tc>
        <w:tc>
          <w:tcPr>
            <w:tcW w:w="2844" w:type="dxa"/>
            <w:vAlign w:val="center"/>
          </w:tcPr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Aprovado por: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Márcio André Veras Machado</w:t>
            </w:r>
          </w:p>
        </w:tc>
        <w:tc>
          <w:tcPr>
            <w:tcW w:w="2800" w:type="dxa"/>
            <w:vAlign w:val="center"/>
          </w:tcPr>
          <w:p w:rsidR="00396C72" w:rsidRDefault="00AD24F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28/02/2023</w:t>
            </w:r>
          </w:p>
        </w:tc>
      </w:tr>
    </w:tbl>
    <w:p w:rsidR="00396C72" w:rsidRDefault="00396C72"/>
    <w:sectPr w:rsidR="00396C7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d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231B"/>
    <w:multiLevelType w:val="multilevel"/>
    <w:tmpl w:val="0BFC29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915C4"/>
    <w:multiLevelType w:val="multilevel"/>
    <w:tmpl w:val="7B9A3EAA"/>
    <w:lvl w:ilvl="0">
      <w:start w:val="1"/>
      <w:numFmt w:val="decimal"/>
      <w:lvlText w:val="%1."/>
      <w:lvlJc w:val="left"/>
      <w:pPr>
        <w:ind w:left="58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01" w:hanging="360"/>
      </w:pPr>
    </w:lvl>
    <w:lvl w:ilvl="2">
      <w:start w:val="1"/>
      <w:numFmt w:val="lowerRoman"/>
      <w:lvlText w:val="%3."/>
      <w:lvlJc w:val="right"/>
      <w:pPr>
        <w:ind w:left="2021" w:hanging="180"/>
      </w:pPr>
    </w:lvl>
    <w:lvl w:ilvl="3">
      <w:start w:val="1"/>
      <w:numFmt w:val="decimal"/>
      <w:lvlText w:val="%4."/>
      <w:lvlJc w:val="left"/>
      <w:pPr>
        <w:ind w:left="2741" w:hanging="360"/>
      </w:pPr>
    </w:lvl>
    <w:lvl w:ilvl="4">
      <w:start w:val="1"/>
      <w:numFmt w:val="lowerLetter"/>
      <w:lvlText w:val="%5."/>
      <w:lvlJc w:val="left"/>
      <w:pPr>
        <w:ind w:left="3461" w:hanging="360"/>
      </w:pPr>
    </w:lvl>
    <w:lvl w:ilvl="5">
      <w:start w:val="1"/>
      <w:numFmt w:val="lowerRoman"/>
      <w:lvlText w:val="%6."/>
      <w:lvlJc w:val="right"/>
      <w:pPr>
        <w:ind w:left="4181" w:hanging="180"/>
      </w:pPr>
    </w:lvl>
    <w:lvl w:ilvl="6">
      <w:start w:val="1"/>
      <w:numFmt w:val="decimal"/>
      <w:lvlText w:val="%7."/>
      <w:lvlJc w:val="left"/>
      <w:pPr>
        <w:ind w:left="4901" w:hanging="360"/>
      </w:pPr>
    </w:lvl>
    <w:lvl w:ilvl="7">
      <w:start w:val="1"/>
      <w:numFmt w:val="lowerLetter"/>
      <w:lvlText w:val="%8."/>
      <w:lvlJc w:val="left"/>
      <w:pPr>
        <w:ind w:left="5621" w:hanging="360"/>
      </w:pPr>
    </w:lvl>
    <w:lvl w:ilvl="8">
      <w:start w:val="1"/>
      <w:numFmt w:val="lowerRoman"/>
      <w:lvlText w:val="%9."/>
      <w:lvlJc w:val="right"/>
      <w:pPr>
        <w:ind w:left="6341" w:hanging="180"/>
      </w:pPr>
    </w:lvl>
  </w:abstractNum>
  <w:abstractNum w:abstractNumId="2" w15:restartNumberingAfterBreak="0">
    <w:nsid w:val="28352924"/>
    <w:multiLevelType w:val="multilevel"/>
    <w:tmpl w:val="FC62C06C"/>
    <w:lvl w:ilvl="0">
      <w:start w:val="1"/>
      <w:numFmt w:val="bullet"/>
      <w:lvlText w:val="●"/>
      <w:lvlJc w:val="left"/>
      <w:pPr>
        <w:ind w:left="58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301" w:hanging="360"/>
      </w:pPr>
    </w:lvl>
    <w:lvl w:ilvl="2">
      <w:start w:val="1"/>
      <w:numFmt w:val="lowerRoman"/>
      <w:lvlText w:val="%3."/>
      <w:lvlJc w:val="right"/>
      <w:pPr>
        <w:ind w:left="2021" w:hanging="180"/>
      </w:pPr>
    </w:lvl>
    <w:lvl w:ilvl="3">
      <w:start w:val="1"/>
      <w:numFmt w:val="decimal"/>
      <w:lvlText w:val="%4."/>
      <w:lvlJc w:val="left"/>
      <w:pPr>
        <w:ind w:left="2741" w:hanging="360"/>
      </w:pPr>
    </w:lvl>
    <w:lvl w:ilvl="4">
      <w:start w:val="1"/>
      <w:numFmt w:val="lowerLetter"/>
      <w:lvlText w:val="%5."/>
      <w:lvlJc w:val="left"/>
      <w:pPr>
        <w:ind w:left="3461" w:hanging="360"/>
      </w:pPr>
    </w:lvl>
    <w:lvl w:ilvl="5">
      <w:start w:val="1"/>
      <w:numFmt w:val="lowerRoman"/>
      <w:lvlText w:val="%6."/>
      <w:lvlJc w:val="right"/>
      <w:pPr>
        <w:ind w:left="4181" w:hanging="180"/>
      </w:pPr>
    </w:lvl>
    <w:lvl w:ilvl="6">
      <w:start w:val="1"/>
      <w:numFmt w:val="decimal"/>
      <w:lvlText w:val="%7."/>
      <w:lvlJc w:val="left"/>
      <w:pPr>
        <w:ind w:left="4901" w:hanging="360"/>
      </w:pPr>
    </w:lvl>
    <w:lvl w:ilvl="7">
      <w:start w:val="1"/>
      <w:numFmt w:val="lowerLetter"/>
      <w:lvlText w:val="%8."/>
      <w:lvlJc w:val="left"/>
      <w:pPr>
        <w:ind w:left="5621" w:hanging="360"/>
      </w:pPr>
    </w:lvl>
    <w:lvl w:ilvl="8">
      <w:start w:val="1"/>
      <w:numFmt w:val="lowerRoman"/>
      <w:lvlText w:val="%9."/>
      <w:lvlJc w:val="right"/>
      <w:pPr>
        <w:ind w:left="6341" w:hanging="180"/>
      </w:pPr>
    </w:lvl>
  </w:abstractNum>
  <w:abstractNum w:abstractNumId="3" w15:restartNumberingAfterBreak="0">
    <w:nsid w:val="2CED3657"/>
    <w:multiLevelType w:val="multilevel"/>
    <w:tmpl w:val="B3A66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CF673F"/>
    <w:multiLevelType w:val="multilevel"/>
    <w:tmpl w:val="75C46CA0"/>
    <w:lvl w:ilvl="0">
      <w:start w:val="1"/>
      <w:numFmt w:val="lowerLetter"/>
      <w:lvlText w:val="%1)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D971BEB"/>
    <w:multiLevelType w:val="multilevel"/>
    <w:tmpl w:val="8776599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7913F7"/>
    <w:multiLevelType w:val="multilevel"/>
    <w:tmpl w:val="229C10F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7A3C65"/>
    <w:multiLevelType w:val="multilevel"/>
    <w:tmpl w:val="3D125C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F26054"/>
    <w:multiLevelType w:val="multilevel"/>
    <w:tmpl w:val="6492BB9E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9" w15:restartNumberingAfterBreak="0">
    <w:nsid w:val="64776FA1"/>
    <w:multiLevelType w:val="multilevel"/>
    <w:tmpl w:val="7D2200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72"/>
    <w:rsid w:val="00396C72"/>
    <w:rsid w:val="00AD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905F-9389-425F-94A0-F5C72201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685"/>
  </w:style>
  <w:style w:type="paragraph" w:styleId="Ttulo1">
    <w:name w:val="heading 1"/>
    <w:basedOn w:val="Normal"/>
    <w:link w:val="Ttulo1Char"/>
    <w:uiPriority w:val="9"/>
    <w:qFormat/>
    <w:rsid w:val="00AE4685"/>
    <w:pPr>
      <w:ind w:left="221"/>
      <w:outlineLvl w:val="0"/>
    </w:pPr>
    <w:rPr>
      <w:rFonts w:ascii="Times New Roman" w:eastAsia="Arial" w:hAnsi="Times New Roman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1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E4685"/>
    <w:rPr>
      <w:rFonts w:ascii="Times New Roman" w:eastAsia="Arial" w:hAnsi="Times New Roman" w:cs="Arial"/>
      <w:b/>
      <w:bCs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1"/>
    <w:qFormat/>
    <w:rsid w:val="00AE4685"/>
    <w:pPr>
      <w:ind w:left="221"/>
    </w:pPr>
  </w:style>
  <w:style w:type="character" w:styleId="Hyperlink">
    <w:name w:val="Hyperlink"/>
    <w:basedOn w:val="Fontepargpadro"/>
    <w:uiPriority w:val="99"/>
    <w:unhideWhenUsed/>
    <w:rsid w:val="00AE468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E4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AE468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AE46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E46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4685"/>
    <w:rPr>
      <w:rFonts w:ascii="Arial MT" w:eastAsia="Arial MT" w:hAnsi="Arial MT" w:cs="Arial MT"/>
      <w:sz w:val="20"/>
      <w:szCs w:val="20"/>
      <w:lang w:val="pt-PT" w:eastAsia="pt-BR"/>
    </w:rPr>
  </w:style>
  <w:style w:type="paragraph" w:styleId="NormalWeb">
    <w:name w:val="Normal (Web)"/>
    <w:basedOn w:val="Normal"/>
    <w:uiPriority w:val="99"/>
    <w:unhideWhenUsed/>
    <w:rsid w:val="00AE46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E4685"/>
    <w:pPr>
      <w:spacing w:after="200"/>
    </w:pPr>
    <w:rPr>
      <w:i/>
      <w:iCs/>
      <w:color w:val="44546A" w:themeColor="text2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E4685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B31F2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1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1C5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18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 w:eastAsia="pt-BR"/>
    </w:rPr>
  </w:style>
  <w:style w:type="character" w:styleId="Forte">
    <w:name w:val="Strong"/>
    <w:basedOn w:val="Fontepargpadro"/>
    <w:uiPriority w:val="22"/>
    <w:qFormat/>
    <w:rsid w:val="00341884"/>
    <w:rPr>
      <w:b/>
      <w:bCs/>
    </w:rPr>
  </w:style>
  <w:style w:type="paragraph" w:customStyle="1" w:styleId="epigrafe">
    <w:name w:val="epigrafe"/>
    <w:basedOn w:val="Normal"/>
    <w:rsid w:val="00C072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ementa">
    <w:name w:val="ementa"/>
    <w:basedOn w:val="Normal"/>
    <w:rsid w:val="00C072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6B9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6B94"/>
    <w:rPr>
      <w:rFonts w:ascii="Arial MT" w:eastAsia="Arial MT" w:hAnsi="Arial MT" w:cs="Arial MT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96B94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0647B7"/>
    <w:pPr>
      <w:widowControl/>
    </w:p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933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33A"/>
    <w:rPr>
      <w:rFonts w:ascii="Segoe UI" w:hAnsi="Segoe UI" w:cs="Segoe UI"/>
      <w:sz w:val="18"/>
      <w:szCs w:val="1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info.ufrn.br/doku.php?id=suporte:manuais:sipac:protocolo:lista" TargetMode="External"/><Relationship Id="rId18" Type="http://schemas.openxmlformats.org/officeDocument/2006/relationships/hyperlink" Target="http://www.pra.ufpb.br/pra/contents/calendarios/documentos-e-fomularios-2023" TargetMode="External"/><Relationship Id="rId26" Type="http://schemas.openxmlformats.org/officeDocument/2006/relationships/hyperlink" Target="https://www.gov.br/agu/pt-br/composicao/cgu/cgu/modelos/licitacoesecontratos/listas-de-verificacao" TargetMode="External"/><Relationship Id="rId39" Type="http://schemas.openxmlformats.org/officeDocument/2006/relationships/hyperlink" Target="https://www.gov.br/agu/pt-br/composicao/cgu/cgu/modelos/licitacoesecontratos/listas-de-verificacao" TargetMode="External"/><Relationship Id="rId21" Type="http://schemas.openxmlformats.org/officeDocument/2006/relationships/hyperlink" Target="https://www.gov.br/agu/pt-br/composicao/cgu/cgu/modelos/licitacoesecontratos" TargetMode="External"/><Relationship Id="rId34" Type="http://schemas.openxmlformats.org/officeDocument/2006/relationships/hyperlink" Target="https://docs.info.ufrn.br/doku.php?id=suporte:manuais:sipac:mudar_de_sistema:cadastro:fornecedor:cadastrar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planalto.gov.br/ccivil_03/_ato2019-2022/2021/lei/L1413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br/pt-br/servicos/cadastrar-se-como-fornecedor-da-administracao-publica" TargetMode="External"/><Relationship Id="rId20" Type="http://schemas.openxmlformats.org/officeDocument/2006/relationships/hyperlink" Target="https://www.gov.br/agu/pt-br/composicao/cgu/cgu/modelos/licitacoesecontratos" TargetMode="External"/><Relationship Id="rId29" Type="http://schemas.openxmlformats.org/officeDocument/2006/relationships/hyperlink" Target="https://www3.comprasnet.gov.br/sicaf-web/public/pages/consultas/consultarRestricaoContratarAdministracaoPublica.jsf" TargetMode="External"/><Relationship Id="rId41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v.br/agu/pt-br/composicao/cgu/cgu/guias/gncs_082022.pdf" TargetMode="External"/><Relationship Id="rId24" Type="http://schemas.openxmlformats.org/officeDocument/2006/relationships/hyperlink" Target="http://comprasnet.gov.br" TargetMode="External"/><Relationship Id="rId32" Type="http://schemas.openxmlformats.org/officeDocument/2006/relationships/hyperlink" Target="https://www.gov.br/compras/pt-br/sistemas/conheca-o-compras/comprasnet-contratos/ContratosV1_11_3.pdf" TargetMode="External"/><Relationship Id="rId37" Type="http://schemas.openxmlformats.org/officeDocument/2006/relationships/hyperlink" Target="http://www.pra.ufpb.br/pra/contents/formularios/requisitantes/estudo-tecnico-preliminar-e-documento-de-formalizacao-da-demanda-materiais/view" TargetMode="External"/><Relationship Id="rId40" Type="http://schemas.openxmlformats.org/officeDocument/2006/relationships/hyperlink" Target="http://www.pra.ufpb.br/pra/contents/menu/servicos/divisao-de-materiais/lista-de-requisitant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.ufpb.br/pra/contents/menu/servicos/divisao-de-materiais/lista-de-requisitantes" TargetMode="External"/><Relationship Id="rId23" Type="http://schemas.openxmlformats.org/officeDocument/2006/relationships/hyperlink" Target="https://certidoes-apf.apps.tcu.gov.br/" TargetMode="External"/><Relationship Id="rId28" Type="http://schemas.openxmlformats.org/officeDocument/2006/relationships/hyperlink" Target="https://www.gov.br/compras/pt-br/acesso-a-informacao/manuais/manual-siasgnet/manual_dispensa_inexigibilidade-1.pdf" TargetMode="External"/><Relationship Id="rId36" Type="http://schemas.openxmlformats.org/officeDocument/2006/relationships/hyperlink" Target="http://www.pra.ufpb.br/pra/contents/formularios/requisitantes/estudo-tecnico-preliminar-e-documento-de-formalizacao-da-demanda-materiais/view" TargetMode="External"/><Relationship Id="rId10" Type="http://schemas.openxmlformats.org/officeDocument/2006/relationships/hyperlink" Target="https://www.gov.br/compras/pt-br/acesso-a-informacao/legislacao/instrucoes-normativas/instrucao-normativa-no-40-de-22-de-maio-de-2020" TargetMode="External"/><Relationship Id="rId19" Type="http://schemas.openxmlformats.org/officeDocument/2006/relationships/hyperlink" Target="https://www.gov.br/plataformamaisbrasil/pt-br/legislacao-geral/instrucoes-normativas/instrucao-normativa-seges-me-no-65-de-7-de-julho-de-2021" TargetMode="External"/><Relationship Id="rId31" Type="http://schemas.openxmlformats.org/officeDocument/2006/relationships/hyperlink" Target="https://www.comprasnet.gov.br/seguro/loginPortalUASG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.gov.br/en/web/dou/-/instrucao-normativa-n-73-de-5-de-agosto-de-2020-270711836" TargetMode="External"/><Relationship Id="rId14" Type="http://schemas.openxmlformats.org/officeDocument/2006/relationships/hyperlink" Target="http://www.pra.ufpb.br/pra/contents/calendarios/calendario-de-compras-e-contratacoes" TargetMode="External"/><Relationship Id="rId22" Type="http://schemas.openxmlformats.org/officeDocument/2006/relationships/hyperlink" Target="https://www3.comprasnet.gov.br/sicaf-web/public/pages/consultas/consultarRestricaoContratarAdministracaoPublica.jsf" TargetMode="External"/><Relationship Id="rId27" Type="http://schemas.openxmlformats.org/officeDocument/2006/relationships/hyperlink" Target="https://www.comprasnet.gov.br/seguro/loginPortalUASG.asp" TargetMode="External"/><Relationship Id="rId30" Type="http://schemas.openxmlformats.org/officeDocument/2006/relationships/hyperlink" Target="https://certidoes-apf.apps.tcu.gov.br/" TargetMode="External"/><Relationship Id="rId35" Type="http://schemas.openxmlformats.org/officeDocument/2006/relationships/hyperlink" Target="http://www.pra.ufpb.br/pra/contents/menu/servicos/assuntos/almoxarifado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planalto.gov.br/ccivil_03/leis/l4320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v.br/compras/pt-br/acesso-a-informacao/manuais" TargetMode="External"/><Relationship Id="rId17" Type="http://schemas.openxmlformats.org/officeDocument/2006/relationships/hyperlink" Target="http://www.pra.ufpb.br/pra/contents/calendarios/documentos-e-fomularios-2023" TargetMode="External"/><Relationship Id="rId25" Type="http://schemas.openxmlformats.org/officeDocument/2006/relationships/hyperlink" Target="https://www.gov.br/compras/pt-br/acesso-a-informacao/manuais/manual-etp-digital-pdf/manual-etp-versao-2.pdf" TargetMode="External"/><Relationship Id="rId33" Type="http://schemas.openxmlformats.org/officeDocument/2006/relationships/hyperlink" Target="https://docs.info.ufrn.br/doku.php?id=suporte:manuais:sipac:orcamento:movimentacoes:empenho:registrar_nota_de_empenho" TargetMode="External"/><Relationship Id="rId38" Type="http://schemas.openxmlformats.org/officeDocument/2006/relationships/hyperlink" Target="https://www.gov.br/agu/pt-br/composicao/cgu/cgu/modelos/licitacoesecontrat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5pzfH8Z0AnBFj1jRBP33PGhTfUA==">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2732</Words>
  <Characters>14758</Characters>
  <Application>Microsoft Office Word</Application>
  <DocSecurity>0</DocSecurity>
  <Lines>122</Lines>
  <Paragraphs>34</Paragraphs>
  <ScaleCrop>false</ScaleCrop>
  <Company/>
  <LinksUpToDate>false</LinksUpToDate>
  <CharactersWithSpaces>17456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Windows User</cp:lastModifiedBy>
  <cp:revision>2</cp:revision>
  <dcterms:created xsi:type="dcterms:W3CDTF">2022-11-10T12:13:00Z</dcterms:created>
  <dcterms:modified xsi:type="dcterms:W3CDTF">2023-06-06T18:53:00Z</dcterms:modified>
</cp:coreProperties>
</file>